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</w:p>
    <w:p>
      <w:pPr>
        <w:spacing w:beforeLines="0" w:afterLines="0"/>
        <w:jc w:val="center"/>
        <w:rPr>
          <w:rFonts w:hint="eastAsia" w:ascii="华文中宋" w:hAnsi="华文中宋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w w:val="90"/>
          <w:sz w:val="36"/>
          <w:szCs w:val="36"/>
          <w:lang w:val="en-US" w:eastAsia="zh-CN"/>
        </w:rPr>
        <w:t>中国物业管理协会 国家开放大学学习成果认证中心（物业）学习成果认证、积累与转换实施办法</w:t>
      </w:r>
    </w:p>
    <w:p>
      <w:pPr>
        <w:spacing w:beforeLines="0" w:afterLines="0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>
      <w:pPr>
        <w:spacing w:before="0" w:beforeLines="0" w:after="0" w:afterLines="0" w:line="240" w:lineRule="auto"/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第一章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总  则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第一条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为贯彻实施《国家职业教育改革实施方案》《关于在院校实施“学历证书+若干职业技能等级证书”制度试点方案》</w:t>
      </w:r>
      <w:r>
        <w:rPr>
          <w:rFonts w:hint="eastAsia" w:hAnsi="仿宋_GB2312" w:cs="仿宋_GB2312"/>
          <w:sz w:val="30"/>
          <w:szCs w:val="30"/>
          <w:lang w:val="en-US" w:eastAsia="zh-CN"/>
        </w:rPr>
        <w:t>有关要求</w:t>
      </w:r>
      <w:r>
        <w:rPr>
          <w:rFonts w:hint="eastAsia" w:ascii="仿宋_GB2312" w:hAnsi="仿宋_GB2312" w:eastAsia="仿宋_GB2312" w:cs="仿宋_GB2312"/>
          <w:sz w:val="30"/>
          <w:szCs w:val="30"/>
        </w:rPr>
        <w:t>，积极稳妥推进1+X证书制度试点工作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根据国家开放大学发布的《学习成果认证、积累与转换办法》，特制定本办法。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第二条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国家开放大学学习成果认证中心（物业）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以下简称物业认证中心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经国家开放大学批准成立，是国家开放大学学分银行（学习成果认证中心）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以下简称国开学分银行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分支机构，在国家开放大学和中国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物业管理协会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以下简称“中国物协”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指导下为物业管理行业提供服务，遵守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国开学分银行</w:t>
      </w:r>
      <w:r>
        <w:rPr>
          <w:rFonts w:hint="eastAsia" w:ascii="仿宋_GB2312" w:hAnsi="仿宋_GB2312" w:eastAsia="仿宋_GB2312" w:cs="仿宋_GB2312"/>
          <w:sz w:val="30"/>
          <w:szCs w:val="30"/>
        </w:rPr>
        <w:t>规范。</w:t>
      </w:r>
    </w:p>
    <w:p>
      <w:pPr>
        <w:spacing w:beforeLines="0" w:afterLines="0"/>
        <w:ind w:firstLine="602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本办法适用对象：物业管理和相关行业的从业人员，以及现阶段开设物业管理相关专业高等院校的学生。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spacing w:before="0" w:beforeLines="0" w:after="0" w:afterLines="0" w:line="240" w:lineRule="auto"/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第二章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组织管理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为确保学分认定工作的规范有序，认定过程的严谨透明，由国家开放大学现代物业服务与不动产管理学院教学指导委员会（以下简称“教学指导委员会”）对认定工作进行指导和监督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为保证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学习成果认证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工作的顺利进行，由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物业认证中心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负责本办法的组织实施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240" w:lineRule="auto"/>
        <w:ind w:firstLine="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240" w:lineRule="auto"/>
        <w:ind w:firstLine="0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0"/>
          <w:szCs w:val="30"/>
          <w:lang w:val="en-US" w:eastAsia="zh-CN" w:bidi="ar-SA"/>
        </w:rPr>
        <w:t>第三章  学习成果管理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学习者通过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eastAsia="zh-CN"/>
        </w:rPr>
        <w:t>物业认证中心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信息平台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申请开设学分银行账户，经登记注册后可获得相关学习成果管理服务。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eastAsia="zh-CN"/>
        </w:rPr>
        <w:t>物业认证中心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将为学习者自动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生成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终身学习成果档案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学习者可在终身学习成果档案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查询个人学习成果转换信息和学习档案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eastAsia="zh-CN"/>
        </w:rPr>
        <w:t>。</w:t>
      </w:r>
    </w:p>
    <w:p>
      <w:pPr>
        <w:pStyle w:val="5"/>
        <w:spacing w:beforeLines="0" w:afterLines="0" w:line="240" w:lineRule="auto"/>
        <w:ind w:firstLine="600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物业认证中心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学习成果包括学历教育、非学历教育和其他无一定形式的学习成果。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学习者可将学历教育证书与职业培训等非学历证书存入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终身学习成果档案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并可在具备相关标准时经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国开学分银行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认证以标准化学分进行学习成果累积。</w:t>
      </w:r>
    </w:p>
    <w:p>
      <w:pPr>
        <w:spacing w:before="0" w:beforeLines="0" w:after="0" w:afterLines="0" w:line="240" w:lineRule="auto"/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spacing w:before="0" w:beforeLines="0" w:after="0" w:afterLines="0" w:line="240" w:lineRule="auto"/>
        <w:jc w:val="center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章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学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习成果认证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本办法目前适用的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职业培训非学历教育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学习成果需同时满足如下条件：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hAnsi="仿宋_GB2312" w:cs="仿宋_GB2312"/>
          <w:sz w:val="30"/>
          <w:szCs w:val="30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已获得国家开放大学学习成果互认联盟认可的中国物协证书；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hAnsi="仿宋_GB2312" w:cs="仿宋_GB2312"/>
          <w:sz w:val="30"/>
          <w:szCs w:val="30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已获得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国开</w:t>
      </w:r>
      <w:r>
        <w:rPr>
          <w:rFonts w:hint="eastAsia" w:ascii="仿宋_GB2312" w:hAnsi="仿宋_GB2312" w:eastAsia="仿宋_GB2312" w:cs="仿宋_GB2312"/>
          <w:sz w:val="30"/>
          <w:szCs w:val="30"/>
        </w:rPr>
        <w:t>学分银行</w:t>
      </w:r>
      <w:r>
        <w:rPr>
          <w:rFonts w:hint="eastAsia" w:hAnsi="仿宋_GB2312" w:cs="仿宋_GB2312"/>
          <w:sz w:val="30"/>
          <w:szCs w:val="30"/>
          <w:lang w:val="en-US" w:eastAsia="zh-CN"/>
        </w:rPr>
        <w:t>认可</w:t>
      </w:r>
      <w:r>
        <w:rPr>
          <w:rFonts w:hint="eastAsia" w:ascii="仿宋_GB2312" w:hAnsi="仿宋_GB2312" w:eastAsia="仿宋_GB2312" w:cs="仿宋_GB2312"/>
          <w:sz w:val="30"/>
          <w:szCs w:val="30"/>
        </w:rPr>
        <w:t>通过学分转换规则的中国物协证书，目前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包括：</w:t>
      </w:r>
      <w:r>
        <w:rPr>
          <w:rFonts w:hint="eastAsia" w:ascii="仿宋_GB2312" w:hAnsi="仿宋_GB2312" w:eastAsia="仿宋_GB2312" w:cs="仿宋_GB2312"/>
          <w:strike w:val="0"/>
          <w:color w:val="auto"/>
          <w:sz w:val="30"/>
          <w:szCs w:val="30"/>
          <w:lang w:val="en-US" w:eastAsia="zh-CN"/>
        </w:rPr>
        <w:t>助理物业管理师职业能力</w:t>
      </w:r>
      <w:r>
        <w:rPr>
          <w:rFonts w:hint="eastAsia" w:ascii="仿宋_GB2312" w:hAnsi="仿宋_GB2312" w:eastAsia="仿宋_GB2312" w:cs="仿宋_GB2312"/>
          <w:strike w:val="0"/>
          <w:color w:val="auto"/>
          <w:sz w:val="30"/>
          <w:szCs w:val="30"/>
        </w:rPr>
        <w:t>证</w:t>
      </w:r>
      <w:r>
        <w:rPr>
          <w:rFonts w:hint="eastAsia" w:ascii="仿宋_GB2312" w:hAnsi="仿宋_GB2312" w:eastAsia="仿宋_GB2312" w:cs="仿宋_GB2312"/>
          <w:strike w:val="0"/>
          <w:color w:val="auto"/>
          <w:sz w:val="30"/>
          <w:szCs w:val="30"/>
          <w:highlight w:val="none"/>
        </w:rPr>
        <w:t>书</w:t>
      </w:r>
      <w:r>
        <w:rPr>
          <w:rFonts w:hint="eastAsia" w:hAnsi="仿宋_GB2312" w:cs="仿宋_GB2312"/>
          <w:strike w:val="0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</w:rPr>
        <w:t>物业管理从业人员专业技术岗位师资培训结业证书（物业承接查验与设施设备管理）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lang w:eastAsia="zh-CN"/>
        </w:rPr>
        <w:t>。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以后将逐步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增加经国开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学分银行认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的其他学习成果。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strike w:val="0"/>
          <w:color w:val="auto"/>
          <w:sz w:val="30"/>
          <w:szCs w:val="30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trike w:val="0"/>
          <w:color w:val="auto"/>
          <w:sz w:val="30"/>
          <w:szCs w:val="30"/>
        </w:rPr>
        <w:t>获得中国物协</w:t>
      </w:r>
      <w:r>
        <w:rPr>
          <w:rFonts w:hint="eastAsia" w:ascii="仿宋_GB2312" w:hAnsi="仿宋_GB2312" w:eastAsia="仿宋_GB2312" w:cs="仿宋_GB2312"/>
          <w:strike w:val="0"/>
          <w:color w:val="auto"/>
          <w:sz w:val="30"/>
          <w:szCs w:val="30"/>
          <w:lang w:val="en-US" w:eastAsia="zh-CN"/>
        </w:rPr>
        <w:t>颁发</w:t>
      </w:r>
      <w:r>
        <w:rPr>
          <w:rFonts w:hint="eastAsia" w:ascii="仿宋_GB2312" w:hAnsi="仿宋_GB2312" w:eastAsia="仿宋_GB2312" w:cs="仿宋_GB2312"/>
          <w:strike w:val="0"/>
          <w:color w:val="auto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trike w:val="0"/>
          <w:color w:val="auto"/>
          <w:sz w:val="30"/>
          <w:szCs w:val="30"/>
          <w:lang w:val="en-US" w:eastAsia="zh-CN"/>
        </w:rPr>
        <w:t>助理物业管理师职业能力</w:t>
      </w:r>
      <w:r>
        <w:rPr>
          <w:rFonts w:hint="eastAsia" w:ascii="仿宋_GB2312" w:hAnsi="仿宋_GB2312" w:eastAsia="仿宋_GB2312" w:cs="仿宋_GB2312"/>
          <w:strike w:val="0"/>
          <w:color w:val="auto"/>
          <w:sz w:val="30"/>
          <w:szCs w:val="30"/>
        </w:rPr>
        <w:t>证书</w:t>
      </w:r>
      <w:r>
        <w:rPr>
          <w:rFonts w:hint="eastAsia" w:ascii="仿宋_GB2312" w:hAnsi="仿宋_GB2312" w:eastAsia="仿宋_GB2312" w:cs="仿宋_GB2312"/>
          <w:strike w:val="0"/>
          <w:color w:val="auto"/>
          <w:sz w:val="30"/>
          <w:szCs w:val="30"/>
          <w:lang w:val="en-US" w:eastAsia="zh-CN"/>
        </w:rPr>
        <w:t>的从业人员，有学分认定需求的，可直接提出学分转</w:t>
      </w:r>
      <w:r>
        <w:rPr>
          <w:rFonts w:hint="eastAsia" w:ascii="仿宋_GB2312" w:hAnsi="仿宋_GB2312" w:eastAsia="仿宋_GB2312" w:cs="仿宋_GB2312"/>
          <w:strike w:val="0"/>
          <w:sz w:val="30"/>
          <w:szCs w:val="30"/>
          <w:lang w:val="en-US" w:eastAsia="zh-CN"/>
        </w:rPr>
        <w:t>换申请</w:t>
      </w:r>
      <w:r>
        <w:rPr>
          <w:rFonts w:hint="eastAsia" w:ascii="仿宋_GB2312" w:hAnsi="仿宋_GB2312" w:eastAsia="仿宋_GB2312" w:cs="仿宋_GB2312"/>
          <w:strike w:val="0"/>
          <w:sz w:val="30"/>
          <w:szCs w:val="30"/>
        </w:rPr>
        <w:t>。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国开</w:t>
      </w:r>
      <w:r>
        <w:rPr>
          <w:rFonts w:hint="eastAsia" w:ascii="仿宋_GB2312" w:hAnsi="仿宋_GB2312" w:eastAsia="仿宋_GB2312" w:cs="仿宋_GB2312"/>
          <w:sz w:val="30"/>
          <w:szCs w:val="30"/>
        </w:rPr>
        <w:t>学分银行保证行业学习成果质量的总体要求，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0"/>
          <w:szCs w:val="30"/>
        </w:rPr>
        <w:t>获得中国物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物业管理从业人员专业技术岗位师资培训结业证书（物业承接查验与设施设备管理）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从业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人员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学分认定需求的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应通过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学分认定考试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方可提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出学分转换申请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0"/>
          <w:szCs w:val="30"/>
        </w:rPr>
        <w:t>获得中国物协全国物业管理项目经理岗位技能证书的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从业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0"/>
          <w:szCs w:val="30"/>
        </w:rPr>
        <w:t>学分认定需求的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应参加助理物业管理师职业能力评价，考试合格获得助理物业管理师职业能力证书后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方可提出学分转换申请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学分认定</w:t>
      </w:r>
      <w:r>
        <w:rPr>
          <w:rFonts w:hint="eastAsia" w:ascii="仿宋_GB2312" w:hAnsi="仿宋_GB2312" w:eastAsia="仿宋_GB2312" w:cs="仿宋_GB2312"/>
          <w:sz w:val="30"/>
          <w:szCs w:val="30"/>
        </w:rPr>
        <w:t>考试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内容依据国开学分银行已评审通过的对应证书的考核标准。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第十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学分认定</w:t>
      </w:r>
      <w:r>
        <w:rPr>
          <w:rFonts w:hint="eastAsia" w:ascii="仿宋_GB2312" w:hAnsi="仿宋_GB2312" w:eastAsia="仿宋_GB2312" w:cs="仿宋_GB2312"/>
          <w:sz w:val="30"/>
          <w:szCs w:val="30"/>
        </w:rPr>
        <w:t>考试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采取</w:t>
      </w:r>
      <w:r>
        <w:rPr>
          <w:rFonts w:hint="eastAsia" w:hAnsi="仿宋_GB2312" w:cs="仿宋_GB2312"/>
          <w:sz w:val="30"/>
          <w:szCs w:val="30"/>
          <w:lang w:val="en-US" w:eastAsia="zh-CN"/>
        </w:rPr>
        <w:t>闭卷线上考试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的方式进行，时间为</w:t>
      </w:r>
      <w:r>
        <w:rPr>
          <w:rFonts w:hint="eastAsia" w:hAnsi="仿宋_GB2312" w:cs="仿宋_GB2312"/>
          <w:sz w:val="30"/>
          <w:szCs w:val="30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分钟，</w:t>
      </w:r>
      <w:r>
        <w:rPr>
          <w:rFonts w:hint="eastAsia" w:ascii="仿宋_GB2312" w:hAnsi="仿宋_GB2312" w:eastAsia="仿宋_GB2312" w:cs="仿宋_GB2312"/>
          <w:sz w:val="30"/>
          <w:szCs w:val="30"/>
        </w:rPr>
        <w:t>原则上每年春季和秋季各组织一次，具体时间另行确定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strike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sz w:val="30"/>
          <w:szCs w:val="30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strike w:val="0"/>
          <w:sz w:val="30"/>
          <w:szCs w:val="30"/>
          <w:lang w:val="en-US" w:eastAsia="zh-CN"/>
        </w:rPr>
        <w:t xml:space="preserve"> 对取得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0"/>
          <w:szCs w:val="30"/>
          <w:shd w:val="clear"/>
          <w:lang w:val="en-US" w:eastAsia="zh-CN"/>
        </w:rPr>
        <w:t>国家开放大学现代物业服务与不动产管理学院设置的</w:t>
      </w:r>
      <w:r>
        <w:rPr>
          <w:rFonts w:hint="eastAsia" w:ascii="仿宋_GB2312" w:hAnsi="仿宋_GB2312" w:eastAsia="仿宋_GB2312" w:cs="仿宋_GB2312"/>
          <w:bCs w:val="0"/>
          <w:sz w:val="30"/>
          <w:szCs w:val="30"/>
          <w:lang w:val="en-US" w:eastAsia="zh-CN"/>
        </w:rPr>
        <w:t>专科、本科、研究生及以上学历的</w:t>
      </w:r>
      <w:r>
        <w:rPr>
          <w:rFonts w:hint="eastAsia" w:ascii="仿宋_GB2312" w:hAnsi="仿宋_GB2312" w:eastAsia="仿宋_GB2312" w:cs="仿宋_GB2312"/>
          <w:strike w:val="0"/>
          <w:sz w:val="30"/>
          <w:szCs w:val="30"/>
          <w:lang w:val="en-US" w:eastAsia="zh-CN"/>
        </w:rPr>
        <w:t>学习者</w:t>
      </w:r>
      <w:r>
        <w:rPr>
          <w:rFonts w:hint="eastAsia" w:ascii="仿宋_GB2312" w:hAnsi="仿宋_GB2312" w:eastAsia="仿宋_GB2312" w:cs="仿宋_GB2312"/>
          <w:bCs w:val="0"/>
          <w:sz w:val="30"/>
          <w:szCs w:val="30"/>
          <w:lang w:val="en-US" w:eastAsia="zh-CN"/>
        </w:rPr>
        <w:t>，经考核可以取得中国物协颁发的职业能力证书。</w:t>
      </w:r>
    </w:p>
    <w:p>
      <w:pPr>
        <w:spacing w:before="0" w:beforeLines="0" w:after="0" w:afterLines="0" w:line="240" w:lineRule="auto"/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spacing w:before="0" w:beforeLines="0" w:after="0" w:afterLines="0" w:line="240" w:lineRule="auto"/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章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学习成果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转换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第十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物业认证中心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负责制定物业管理行业学分转换标准</w:t>
      </w:r>
      <w:r>
        <w:rPr>
          <w:rFonts w:hint="eastAsia" w:hAnsi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并由国开学分银行批准后发布可转换信息及转换流程。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有</w:t>
      </w:r>
      <w:r>
        <w:rPr>
          <w:rFonts w:hint="eastAsia" w:ascii="仿宋_GB2312" w:hAnsi="仿宋_GB2312" w:eastAsia="仿宋_GB2312" w:cs="仿宋_GB2312"/>
          <w:sz w:val="30"/>
          <w:szCs w:val="30"/>
        </w:rPr>
        <w:t>学分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转换</w:t>
      </w:r>
      <w:r>
        <w:rPr>
          <w:rFonts w:hint="eastAsia" w:ascii="仿宋_GB2312" w:hAnsi="仿宋_GB2312" w:eastAsia="仿宋_GB2312" w:cs="仿宋_GB2312"/>
          <w:sz w:val="30"/>
          <w:szCs w:val="30"/>
        </w:rPr>
        <w:t>需求的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学习者可向物业认证中心提出学分转换申请，由物业认证中心初审认证、国开学分银行终审通过后</w:t>
      </w:r>
      <w:r>
        <w:rPr>
          <w:rFonts w:hint="eastAsia" w:ascii="仿宋_GB2312" w:hAnsi="仿宋_GB2312" w:eastAsia="仿宋_GB2312" w:cs="仿宋_GB2312"/>
          <w:sz w:val="30"/>
          <w:szCs w:val="30"/>
        </w:rPr>
        <w:t>出具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学习成果转换证明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5"/>
        <w:spacing w:beforeLines="0" w:after="0" w:afterLines="0" w:line="240" w:lineRule="auto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学习成果转换证明由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国开学分银行批准</w:t>
      </w:r>
      <w:r>
        <w:rPr>
          <w:rFonts w:hint="eastAsia" w:ascii="仿宋_GB2312" w:hAnsi="仿宋_GB2312" w:eastAsia="仿宋_GB2312" w:cs="仿宋_GB2312"/>
          <w:sz w:val="30"/>
          <w:szCs w:val="30"/>
        </w:rPr>
        <w:t>监制，由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物业认证中心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国开学分银行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要求提供电子版文件。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第十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学习者持学习成果转换证明到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国家开放大学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申请学习成果转换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学习成果转换证明的时效按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国开学分银行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有关规定确定。</w:t>
      </w:r>
    </w:p>
    <w:p>
      <w:pPr>
        <w:spacing w:before="0" w:beforeLines="0" w:after="0" w:afterLines="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spacing w:before="0" w:beforeLines="0" w:after="0" w:afterLines="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章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附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则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本办法经国开学分银行备案并受其监督。</w:t>
      </w:r>
    </w:p>
    <w:p>
      <w:pPr>
        <w:pStyle w:val="5"/>
        <w:spacing w:beforeLines="0" w:after="0" w:afterLines="0" w:line="240" w:lineRule="auto"/>
        <w:ind w:firstLine="6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本办法由</w:t>
      </w:r>
      <w:r>
        <w:rPr>
          <w:rFonts w:hint="eastAsia" w:hAnsi="仿宋_GB2312" w:cs="仿宋_GB2312"/>
          <w:color w:val="auto"/>
          <w:sz w:val="30"/>
          <w:szCs w:val="30"/>
          <w:lang w:val="en-US" w:eastAsia="zh-CN"/>
        </w:rPr>
        <w:t>中国物协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负责解释。</w:t>
      </w:r>
    </w:p>
    <w:p>
      <w:pPr>
        <w:pStyle w:val="5"/>
        <w:spacing w:beforeLines="0" w:after="0" w:afterLines="0" w:line="240" w:lineRule="auto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本办法自发布之日起生效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中国物业管理协会、国家开放大学学分银行和学习成果认证中心（物业）试行办法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同时废止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2021-01-21T09:42:08Z</dcterms:created>
  <dc:creator>Administrator</dc:creator>
  <cp:lastModifiedBy>leexu</cp:lastModifiedBy>
  <dcterms:modified xsi:type="dcterms:W3CDTF">2021-01-21T09:42:24Z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